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DA942" w14:textId="7ED89C2C" w:rsidR="00113C6D" w:rsidRDefault="00113C6D" w:rsidP="00113C6D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 w:rsidRPr="00E8496B">
        <w:rPr>
          <w:rFonts w:ascii="Tahoma" w:hAnsi="Tahoma" w:cs="Tahoma"/>
          <w:sz w:val="20"/>
        </w:rPr>
        <w:t>Форма 3.8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14:paraId="56EC41DD" w14:textId="40A79B1E" w:rsidR="00925B89" w:rsidRDefault="00925B89" w:rsidP="00113C6D">
      <w:pPr>
        <w:pStyle w:val="ConsPlusNormal"/>
        <w:jc w:val="center"/>
        <w:outlineLvl w:val="2"/>
        <w:rPr>
          <w:rFonts w:ascii="Tahoma" w:hAnsi="Tahoma" w:cs="Tahoma"/>
          <w:sz w:val="20"/>
        </w:rPr>
      </w:pPr>
    </w:p>
    <w:p w14:paraId="78F6B3F3" w14:textId="0E5ECC76" w:rsidR="00925B89" w:rsidRPr="00E8496B" w:rsidRDefault="00925B89" w:rsidP="00113C6D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за </w:t>
      </w:r>
      <w:r w:rsidR="008335DD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 xml:space="preserve"> квартал 201</w:t>
      </w:r>
      <w:r w:rsidR="008335DD">
        <w:rPr>
          <w:rFonts w:ascii="Tahoma" w:hAnsi="Tahoma" w:cs="Tahoma"/>
          <w:sz w:val="20"/>
        </w:rPr>
        <w:t>9</w:t>
      </w:r>
      <w:r>
        <w:rPr>
          <w:rFonts w:ascii="Tahoma" w:hAnsi="Tahoma" w:cs="Tahoma"/>
          <w:sz w:val="20"/>
        </w:rPr>
        <w:t>г</w:t>
      </w:r>
    </w:p>
    <w:p w14:paraId="3D568DD3" w14:textId="77777777" w:rsidR="005024D8" w:rsidRDefault="005024D8" w:rsidP="00FB4AD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5613"/>
      </w:tblGrid>
      <w:tr w:rsidR="00113C6D" w:rsidRPr="00E8496B" w14:paraId="76123A07" w14:textId="77777777" w:rsidTr="008014B7">
        <w:tc>
          <w:tcPr>
            <w:tcW w:w="5037" w:type="dxa"/>
            <w:gridSpan w:val="4"/>
          </w:tcPr>
          <w:p w14:paraId="17900D47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Параметры формы</w:t>
            </w:r>
          </w:p>
        </w:tc>
        <w:tc>
          <w:tcPr>
            <w:tcW w:w="5613" w:type="dxa"/>
            <w:vMerge w:val="restart"/>
          </w:tcPr>
          <w:p w14:paraId="0C5A0F86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Описание параметров формы</w:t>
            </w:r>
          </w:p>
        </w:tc>
      </w:tr>
      <w:tr w:rsidR="00113C6D" w:rsidRPr="00E8496B" w14:paraId="4C69B7FC" w14:textId="77777777" w:rsidTr="008014B7">
        <w:tc>
          <w:tcPr>
            <w:tcW w:w="454" w:type="dxa"/>
          </w:tcPr>
          <w:p w14:paraId="34492125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N п/п</w:t>
            </w:r>
          </w:p>
        </w:tc>
        <w:tc>
          <w:tcPr>
            <w:tcW w:w="2486" w:type="dxa"/>
          </w:tcPr>
          <w:p w14:paraId="748952FE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Наименование параметра</w:t>
            </w:r>
          </w:p>
        </w:tc>
        <w:tc>
          <w:tcPr>
            <w:tcW w:w="1247" w:type="dxa"/>
          </w:tcPr>
          <w:p w14:paraId="5341D036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Единица измерения</w:t>
            </w:r>
          </w:p>
        </w:tc>
        <w:tc>
          <w:tcPr>
            <w:tcW w:w="850" w:type="dxa"/>
          </w:tcPr>
          <w:p w14:paraId="1EDD7DDD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Информация</w:t>
            </w:r>
          </w:p>
        </w:tc>
        <w:tc>
          <w:tcPr>
            <w:tcW w:w="5613" w:type="dxa"/>
            <w:vMerge/>
          </w:tcPr>
          <w:p w14:paraId="32323D62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3C6D" w:rsidRPr="00E8496B" w14:paraId="57D5D0B6" w14:textId="77777777" w:rsidTr="008014B7">
        <w:tc>
          <w:tcPr>
            <w:tcW w:w="454" w:type="dxa"/>
            <w:vAlign w:val="center"/>
          </w:tcPr>
          <w:p w14:paraId="0EC42128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2486" w:type="dxa"/>
            <w:vAlign w:val="center"/>
          </w:tcPr>
          <w:p w14:paraId="1538B082" w14:textId="77777777" w:rsidR="00113C6D" w:rsidRPr="00E8496B" w:rsidRDefault="00113C6D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Количество поданных заявок</w:t>
            </w:r>
          </w:p>
        </w:tc>
        <w:tc>
          <w:tcPr>
            <w:tcW w:w="1247" w:type="dxa"/>
            <w:vAlign w:val="center"/>
          </w:tcPr>
          <w:p w14:paraId="3AD82ED0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1288B543" w14:textId="5F2D4C05" w:rsidR="00113C6D" w:rsidRPr="00E8496B" w:rsidRDefault="00550274" w:rsidP="00550274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613" w:type="dxa"/>
            <w:vAlign w:val="center"/>
          </w:tcPr>
          <w:p w14:paraId="219E7AB2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Указывается количество поданных заявок на подключение (технологическое присоединение) к централизованной системе водоотведения в течение отчетного квартала.</w:t>
            </w:r>
          </w:p>
        </w:tc>
      </w:tr>
      <w:tr w:rsidR="00113C6D" w:rsidRPr="00E8496B" w14:paraId="4634ECC8" w14:textId="77777777" w:rsidTr="008014B7">
        <w:tc>
          <w:tcPr>
            <w:tcW w:w="454" w:type="dxa"/>
            <w:vAlign w:val="center"/>
          </w:tcPr>
          <w:p w14:paraId="40B4ABFC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2486" w:type="dxa"/>
            <w:vAlign w:val="center"/>
          </w:tcPr>
          <w:p w14:paraId="6E36C287" w14:textId="77777777" w:rsidR="00113C6D" w:rsidRPr="00E8496B" w:rsidRDefault="00113C6D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Количество исполненных заявок</w:t>
            </w:r>
          </w:p>
        </w:tc>
        <w:tc>
          <w:tcPr>
            <w:tcW w:w="1247" w:type="dxa"/>
            <w:vAlign w:val="center"/>
          </w:tcPr>
          <w:p w14:paraId="45D1A908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174E78A4" w14:textId="67CA447D" w:rsidR="00113C6D" w:rsidRPr="00E8496B" w:rsidRDefault="00550274" w:rsidP="00550274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613" w:type="dxa"/>
            <w:vAlign w:val="center"/>
          </w:tcPr>
          <w:p w14:paraId="3876F229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Указывается количество исполненных заявок на подключение (технологическое присоединение) к централизованной системе водоотведения в течение отчетного квартала.</w:t>
            </w:r>
          </w:p>
        </w:tc>
      </w:tr>
      <w:tr w:rsidR="00113C6D" w:rsidRPr="00E8496B" w14:paraId="376F5B26" w14:textId="77777777" w:rsidTr="008014B7">
        <w:tc>
          <w:tcPr>
            <w:tcW w:w="454" w:type="dxa"/>
            <w:vAlign w:val="center"/>
          </w:tcPr>
          <w:p w14:paraId="776C7EFB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2486" w:type="dxa"/>
            <w:vAlign w:val="center"/>
          </w:tcPr>
          <w:p w14:paraId="18506A95" w14:textId="77777777" w:rsidR="00113C6D" w:rsidRPr="00E8496B" w:rsidRDefault="00113C6D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vAlign w:val="center"/>
          </w:tcPr>
          <w:p w14:paraId="6015924B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369A41FB" w14:textId="55B26618" w:rsidR="00113C6D" w:rsidRPr="00E8496B" w:rsidRDefault="00550274" w:rsidP="00550274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613" w:type="dxa"/>
            <w:vAlign w:val="center"/>
          </w:tcPr>
          <w:p w14:paraId="56E201E4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Указывается количество заявок с решением об отказе о подключении (технологическому присоединению) к централизованной системе водоотведения в течение отчетного квартала.</w:t>
            </w:r>
          </w:p>
        </w:tc>
      </w:tr>
      <w:tr w:rsidR="00113C6D" w:rsidRPr="00E8496B" w14:paraId="42D83482" w14:textId="77777777" w:rsidTr="008014B7">
        <w:tc>
          <w:tcPr>
            <w:tcW w:w="454" w:type="dxa"/>
            <w:vMerge w:val="restart"/>
            <w:vAlign w:val="center"/>
          </w:tcPr>
          <w:p w14:paraId="46089A0B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2486" w:type="dxa"/>
            <w:vMerge w:val="restart"/>
            <w:vAlign w:val="center"/>
          </w:tcPr>
          <w:p w14:paraId="530A7EA6" w14:textId="77777777" w:rsidR="00113C6D" w:rsidRPr="00E8496B" w:rsidRDefault="00113C6D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vAlign w:val="center"/>
          </w:tcPr>
          <w:p w14:paraId="54A97A4C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850" w:type="dxa"/>
            <w:vMerge w:val="restart"/>
            <w:vAlign w:val="center"/>
          </w:tcPr>
          <w:p w14:paraId="04C5A734" w14:textId="38039C22" w:rsidR="00113C6D" w:rsidRPr="00E8496B" w:rsidRDefault="00550274" w:rsidP="00550274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х</w:t>
            </w:r>
          </w:p>
        </w:tc>
        <w:tc>
          <w:tcPr>
            <w:tcW w:w="5613" w:type="dxa"/>
            <w:tcBorders>
              <w:bottom w:val="nil"/>
            </w:tcBorders>
            <w:vAlign w:val="center"/>
          </w:tcPr>
          <w:p w14:paraId="2DAC3774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Указывается текстовое описание причин принятия решения об отказе в подключении (технологическом присоединении) к централизованной системе водоотведения.</w:t>
            </w:r>
          </w:p>
        </w:tc>
      </w:tr>
      <w:tr w:rsidR="00113C6D" w:rsidRPr="00E8496B" w14:paraId="165691AA" w14:textId="77777777" w:rsidTr="008014B7">
        <w:tc>
          <w:tcPr>
            <w:tcW w:w="454" w:type="dxa"/>
            <w:vMerge/>
          </w:tcPr>
          <w:p w14:paraId="7B63311F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14:paraId="2760608F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37650FD0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B1C6B71" w14:textId="77777777" w:rsidR="00113C6D" w:rsidRPr="00E8496B" w:rsidRDefault="00113C6D" w:rsidP="005502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nil"/>
            </w:tcBorders>
          </w:tcPr>
          <w:p w14:paraId="4C528F76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113C6D" w:rsidRPr="00E8496B" w14:paraId="7E911A2C" w14:textId="77777777" w:rsidTr="008014B7">
        <w:tc>
          <w:tcPr>
            <w:tcW w:w="454" w:type="dxa"/>
            <w:vMerge w:val="restart"/>
            <w:vAlign w:val="center"/>
          </w:tcPr>
          <w:p w14:paraId="121EDA89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2486" w:type="dxa"/>
            <w:vMerge w:val="restart"/>
            <w:vAlign w:val="center"/>
          </w:tcPr>
          <w:p w14:paraId="44B280F4" w14:textId="77777777" w:rsidR="00113C6D" w:rsidRPr="00E8496B" w:rsidRDefault="00113C6D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247" w:type="dxa"/>
            <w:vMerge w:val="restart"/>
            <w:vAlign w:val="center"/>
          </w:tcPr>
          <w:p w14:paraId="0F09D98D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тыс. куб. м/сутки</w:t>
            </w:r>
          </w:p>
        </w:tc>
        <w:tc>
          <w:tcPr>
            <w:tcW w:w="850" w:type="dxa"/>
            <w:vMerge w:val="restart"/>
            <w:vAlign w:val="center"/>
          </w:tcPr>
          <w:p w14:paraId="07EB9F96" w14:textId="7C563341" w:rsidR="00113C6D" w:rsidRPr="00E8496B" w:rsidRDefault="00550274" w:rsidP="00550274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7,</w:t>
            </w:r>
            <w:r w:rsidR="008335DD">
              <w:rPr>
                <w:rFonts w:ascii="Tahoma" w:hAnsi="Tahoma" w:cs="Tahoma"/>
                <w:sz w:val="20"/>
              </w:rPr>
              <w:t>89</w:t>
            </w:r>
          </w:p>
        </w:tc>
        <w:tc>
          <w:tcPr>
            <w:tcW w:w="5613" w:type="dxa"/>
            <w:tcBorders>
              <w:bottom w:val="nil"/>
            </w:tcBorders>
            <w:vAlign w:val="center"/>
          </w:tcPr>
          <w:p w14:paraId="7555FB28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Указывается резерв мощности централизованной системы водоотведения (совокупности централизованных систем водоотведения) в случае, если для них установлены одинаковые тарифы в сфере водоотведения.</w:t>
            </w:r>
          </w:p>
        </w:tc>
      </w:tr>
      <w:tr w:rsidR="00113C6D" w:rsidRPr="00E8496B" w14:paraId="2B1AB47A" w14:textId="77777777" w:rsidTr="008014B7">
        <w:tc>
          <w:tcPr>
            <w:tcW w:w="454" w:type="dxa"/>
            <w:vMerge/>
          </w:tcPr>
          <w:p w14:paraId="1FA618E0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14:paraId="42150BD6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3C73EF01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6A4C02C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nil"/>
            </w:tcBorders>
          </w:tcPr>
          <w:p w14:paraId="396D2469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В случае если регулируемыми организациями оказываются услуги по водоотведению по нескольким технологически не связанным между собой централизованным системам водоотведения, и если в отношении указанных систем устанавливаются различные тарифы в сфере водоотведения, то информация раскрывается отдельно по каждой централизованной системе водоотведения.</w:t>
            </w:r>
          </w:p>
        </w:tc>
      </w:tr>
      <w:tr w:rsidR="00113C6D" w:rsidRPr="00E8496B" w14:paraId="7ACF777A" w14:textId="77777777" w:rsidTr="008014B7">
        <w:tc>
          <w:tcPr>
            <w:tcW w:w="454" w:type="dxa"/>
            <w:vMerge w:val="restart"/>
            <w:vAlign w:val="center"/>
          </w:tcPr>
          <w:p w14:paraId="3A8A681D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5.1</w:t>
            </w:r>
          </w:p>
        </w:tc>
        <w:tc>
          <w:tcPr>
            <w:tcW w:w="2486" w:type="dxa"/>
            <w:vMerge w:val="restart"/>
            <w:vAlign w:val="center"/>
          </w:tcPr>
          <w:p w14:paraId="6AC8F86C" w14:textId="77777777" w:rsidR="00113C6D" w:rsidRPr="00E8496B" w:rsidRDefault="00113C6D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- централизованная система водоотведения</w:t>
            </w:r>
          </w:p>
        </w:tc>
        <w:tc>
          <w:tcPr>
            <w:tcW w:w="1247" w:type="dxa"/>
            <w:vMerge w:val="restart"/>
            <w:vAlign w:val="center"/>
          </w:tcPr>
          <w:p w14:paraId="3AEF49E9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тыс. куб. м/сутки</w:t>
            </w:r>
          </w:p>
        </w:tc>
        <w:tc>
          <w:tcPr>
            <w:tcW w:w="850" w:type="dxa"/>
            <w:vMerge w:val="restart"/>
            <w:vAlign w:val="center"/>
          </w:tcPr>
          <w:p w14:paraId="08F34118" w14:textId="3A17E717" w:rsidR="00113C6D" w:rsidRPr="00E8496B" w:rsidRDefault="00550274" w:rsidP="00550274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7,</w:t>
            </w:r>
            <w:r w:rsidR="008335DD">
              <w:rPr>
                <w:rFonts w:ascii="Tahoma" w:hAnsi="Tahoma" w:cs="Tahoma"/>
                <w:sz w:val="20"/>
              </w:rPr>
              <w:t>89</w:t>
            </w:r>
            <w:bookmarkStart w:id="0" w:name="_GoBack"/>
            <w:bookmarkEnd w:id="0"/>
          </w:p>
        </w:tc>
        <w:tc>
          <w:tcPr>
            <w:tcW w:w="5613" w:type="dxa"/>
            <w:tcBorders>
              <w:bottom w:val="nil"/>
            </w:tcBorders>
            <w:vAlign w:val="center"/>
          </w:tcPr>
          <w:p w14:paraId="7714FA33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Указывается резерв мощности для централизованной системы водоотведения, тариф для которой не является отличным от тарифов других централизованных систем водоотведения регулируемой организации.</w:t>
            </w:r>
          </w:p>
        </w:tc>
      </w:tr>
      <w:tr w:rsidR="00113C6D" w:rsidRPr="00E8496B" w14:paraId="0B8B3AB8" w14:textId="77777777" w:rsidTr="008014B7">
        <w:tblPrEx>
          <w:tblBorders>
            <w:insideH w:val="nil"/>
          </w:tblBorders>
        </w:tblPrEx>
        <w:tc>
          <w:tcPr>
            <w:tcW w:w="454" w:type="dxa"/>
            <w:vMerge/>
          </w:tcPr>
          <w:p w14:paraId="04277464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14:paraId="78A8D78C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0062110C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D349E26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nil"/>
            </w:tcBorders>
          </w:tcPr>
          <w:p w14:paraId="76A3F8C3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При использовании регулируемой организацией нескольких централизованных систем водоотведения информация о резерве мощности таких систем указывается в отношении каждой централизованной системы водоотведения в отдельных строках.</w:t>
            </w:r>
          </w:p>
        </w:tc>
      </w:tr>
    </w:tbl>
    <w:p w14:paraId="142BC5FE" w14:textId="77777777" w:rsidR="007923B3" w:rsidRDefault="007923B3"/>
    <w:sectPr w:rsidR="007923B3" w:rsidSect="00FB4A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29"/>
    <w:rsid w:val="00113C6D"/>
    <w:rsid w:val="005024D8"/>
    <w:rsid w:val="00550274"/>
    <w:rsid w:val="00562A29"/>
    <w:rsid w:val="006B2751"/>
    <w:rsid w:val="007923B3"/>
    <w:rsid w:val="008335DD"/>
    <w:rsid w:val="00925B89"/>
    <w:rsid w:val="00E8496B"/>
    <w:rsid w:val="00F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959D"/>
  <w15:chartTrackingRefBased/>
  <w15:docId w15:val="{E80E9348-3660-4B38-9E36-93EC5E5B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A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ПТО2</dc:creator>
  <cp:keywords/>
  <dc:description/>
  <cp:lastModifiedBy>ПТО2</cp:lastModifiedBy>
  <cp:revision>9</cp:revision>
  <dcterms:created xsi:type="dcterms:W3CDTF">2019-01-16T11:56:00Z</dcterms:created>
  <dcterms:modified xsi:type="dcterms:W3CDTF">2019-04-23T04:36:00Z</dcterms:modified>
</cp:coreProperties>
</file>